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B1" w:rsidRPr="00433322" w:rsidRDefault="00E40900" w:rsidP="00E40900">
      <w:pPr>
        <w:jc w:val="center"/>
        <w:rPr>
          <w:rFonts w:hint="eastAsia"/>
          <w:b/>
        </w:rPr>
      </w:pPr>
      <w:r w:rsidRPr="00433322">
        <w:rPr>
          <w:rFonts w:hint="eastAsia"/>
          <w:b/>
        </w:rPr>
        <w:t>設備条件確認書（無停電年次点検）</w:t>
      </w:r>
    </w:p>
    <w:p w:rsidR="00E40900" w:rsidRDefault="00E40900">
      <w:pPr>
        <w:rPr>
          <w:rFonts w:hint="eastAsia"/>
        </w:rPr>
      </w:pPr>
    </w:p>
    <w:p w:rsidR="00E40900" w:rsidRDefault="00E40900" w:rsidP="00E40900">
      <w:pPr>
        <w:ind w:firstLineChars="100" w:firstLine="210"/>
        <w:rPr>
          <w:rFonts w:hint="eastAsia"/>
        </w:rPr>
      </w:pPr>
      <w:r>
        <w:rPr>
          <w:rFonts w:hint="eastAsia"/>
        </w:rPr>
        <w:t>当事業場は、</w:t>
      </w:r>
      <w:bookmarkStart w:id="0" w:name="_GoBack"/>
      <w:bookmarkEnd w:id="0"/>
      <w:r>
        <w:rPr>
          <w:rFonts w:hint="eastAsia"/>
        </w:rPr>
        <w:t>次の設備条件を満足しているため、無停電による年次点検を１年に１回以上行うことにより、停電を伴う年次点検を３年に１回以上とします。</w:t>
      </w:r>
    </w:p>
    <w:p w:rsidR="00433322" w:rsidRDefault="00433322">
      <w:pPr>
        <w:rPr>
          <w:rFonts w:hint="eastAsia"/>
        </w:rPr>
      </w:pPr>
    </w:p>
    <w:p w:rsidR="00E40900" w:rsidRPr="00E40900" w:rsidRDefault="00E40900">
      <w:pPr>
        <w:rPr>
          <w:rFonts w:hint="eastAsia"/>
          <w:u w:val="single"/>
        </w:rPr>
      </w:pPr>
      <w:r w:rsidRPr="00E40900">
        <w:rPr>
          <w:rFonts w:hint="eastAsia"/>
          <w:u w:val="single"/>
        </w:rPr>
        <w:t xml:space="preserve">事業場名　　　　　　　</w:t>
      </w:r>
      <w:r w:rsidR="00433322">
        <w:rPr>
          <w:rFonts w:hint="eastAsia"/>
          <w:u w:val="single"/>
        </w:rPr>
        <w:t xml:space="preserve">　</w:t>
      </w:r>
      <w:r w:rsidRPr="00E40900">
        <w:rPr>
          <w:rFonts w:hint="eastAsia"/>
          <w:u w:val="single"/>
        </w:rPr>
        <w:t xml:space="preserve">　　　　　　　</w:t>
      </w:r>
    </w:p>
    <w:tbl>
      <w:tblPr>
        <w:tblStyle w:val="a7"/>
        <w:tblW w:w="0" w:type="auto"/>
        <w:tblLook w:val="04A0" w:firstRow="1" w:lastRow="0" w:firstColumn="1" w:lastColumn="0" w:noHBand="0" w:noVBand="1"/>
      </w:tblPr>
      <w:tblGrid>
        <w:gridCol w:w="534"/>
        <w:gridCol w:w="7087"/>
        <w:gridCol w:w="1081"/>
      </w:tblGrid>
      <w:tr w:rsidR="00E40900" w:rsidTr="00433322">
        <w:tc>
          <w:tcPr>
            <w:tcW w:w="7621" w:type="dxa"/>
            <w:gridSpan w:val="2"/>
          </w:tcPr>
          <w:p w:rsidR="00E40900" w:rsidRDefault="00E40900" w:rsidP="00E40900">
            <w:pPr>
              <w:jc w:val="center"/>
            </w:pPr>
            <w:r>
              <w:rPr>
                <w:rFonts w:hint="eastAsia"/>
              </w:rPr>
              <w:t>設　　備　　条　　件</w:t>
            </w:r>
          </w:p>
        </w:tc>
        <w:tc>
          <w:tcPr>
            <w:tcW w:w="1081" w:type="dxa"/>
            <w:vAlign w:val="center"/>
          </w:tcPr>
          <w:p w:rsidR="00E40900" w:rsidRDefault="00E40900" w:rsidP="00433322">
            <w:pPr>
              <w:jc w:val="center"/>
            </w:pPr>
            <w:r>
              <w:rPr>
                <w:rFonts w:hint="eastAsia"/>
              </w:rPr>
              <w:t>適否</w:t>
            </w:r>
          </w:p>
        </w:tc>
      </w:tr>
      <w:tr w:rsidR="00E40900" w:rsidTr="00433322">
        <w:tc>
          <w:tcPr>
            <w:tcW w:w="7621" w:type="dxa"/>
            <w:gridSpan w:val="2"/>
          </w:tcPr>
          <w:p w:rsidR="00E40900" w:rsidRDefault="00E40900" w:rsidP="00E40900">
            <w:pPr>
              <w:pStyle w:val="a8"/>
              <w:numPr>
                <w:ilvl w:val="0"/>
                <w:numId w:val="1"/>
              </w:numPr>
              <w:ind w:leftChars="0"/>
            </w:pPr>
            <w:r>
              <w:rPr>
                <w:rFonts w:hint="eastAsia"/>
              </w:rPr>
              <w:t>設備を構成する個々の機械器具において、設計上、製作上又は施工上支障があるものではないこと。</w:t>
            </w:r>
          </w:p>
        </w:tc>
        <w:tc>
          <w:tcPr>
            <w:tcW w:w="1081" w:type="dxa"/>
            <w:vAlign w:val="center"/>
          </w:tcPr>
          <w:p w:rsidR="00E40900" w:rsidRDefault="00E40900" w:rsidP="00433322">
            <w:pPr>
              <w:jc w:val="center"/>
            </w:pPr>
          </w:p>
        </w:tc>
      </w:tr>
      <w:tr w:rsidR="00E40900" w:rsidTr="00433322">
        <w:tc>
          <w:tcPr>
            <w:tcW w:w="534" w:type="dxa"/>
          </w:tcPr>
          <w:p w:rsidR="00E40900" w:rsidRDefault="00E40900"/>
        </w:tc>
        <w:tc>
          <w:tcPr>
            <w:tcW w:w="7087" w:type="dxa"/>
          </w:tcPr>
          <w:p w:rsidR="00E40900" w:rsidRDefault="00E40900">
            <w:r w:rsidRPr="00E40900">
              <w:rPr>
                <w:rFonts w:hint="eastAsia"/>
              </w:rPr>
              <w:t>リコール制度による届出や保安上の注意喚起等の対象となっていないこと。</w:t>
            </w:r>
          </w:p>
        </w:tc>
        <w:tc>
          <w:tcPr>
            <w:tcW w:w="1081" w:type="dxa"/>
            <w:vAlign w:val="center"/>
          </w:tcPr>
          <w:p w:rsidR="00E40900" w:rsidRDefault="00E40900" w:rsidP="00433322">
            <w:pPr>
              <w:jc w:val="center"/>
            </w:pPr>
          </w:p>
        </w:tc>
      </w:tr>
      <w:tr w:rsidR="00E40900" w:rsidTr="00433322">
        <w:tc>
          <w:tcPr>
            <w:tcW w:w="7621" w:type="dxa"/>
            <w:gridSpan w:val="2"/>
          </w:tcPr>
          <w:p w:rsidR="00E40900" w:rsidRDefault="00E40900" w:rsidP="00E40900">
            <w:pPr>
              <w:pStyle w:val="a8"/>
              <w:numPr>
                <w:ilvl w:val="0"/>
                <w:numId w:val="1"/>
              </w:numPr>
              <w:ind w:leftChars="0"/>
            </w:pPr>
            <w:r w:rsidRPr="00E40900">
              <w:rPr>
                <w:rFonts w:hint="eastAsia"/>
              </w:rPr>
              <w:t>保安上の観点から、設備構成に一定の信頼性が認められるものであること。</w:t>
            </w:r>
          </w:p>
        </w:tc>
        <w:tc>
          <w:tcPr>
            <w:tcW w:w="1081" w:type="dxa"/>
            <w:vAlign w:val="center"/>
          </w:tcPr>
          <w:p w:rsidR="00E40900" w:rsidRDefault="00E40900" w:rsidP="00433322">
            <w:pPr>
              <w:jc w:val="center"/>
            </w:pPr>
          </w:p>
        </w:tc>
      </w:tr>
      <w:tr w:rsidR="00433322" w:rsidTr="00433322">
        <w:tc>
          <w:tcPr>
            <w:tcW w:w="534" w:type="dxa"/>
            <w:vMerge w:val="restart"/>
          </w:tcPr>
          <w:p w:rsidR="00433322" w:rsidRDefault="00433322"/>
        </w:tc>
        <w:tc>
          <w:tcPr>
            <w:tcW w:w="7087" w:type="dxa"/>
          </w:tcPr>
          <w:p w:rsidR="00433322" w:rsidRDefault="00433322" w:rsidP="00433322">
            <w:pPr>
              <w:pStyle w:val="a8"/>
              <w:numPr>
                <w:ilvl w:val="0"/>
                <w:numId w:val="2"/>
              </w:numPr>
              <w:ind w:leftChars="0"/>
            </w:pPr>
            <w:r w:rsidRPr="00E40900">
              <w:rPr>
                <w:rFonts w:hint="eastAsia"/>
              </w:rPr>
              <w:t>構外にわたる高圧電線路がないもの</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Default="00433322" w:rsidP="00433322">
            <w:pPr>
              <w:pStyle w:val="a8"/>
              <w:numPr>
                <w:ilvl w:val="0"/>
                <w:numId w:val="2"/>
              </w:numPr>
              <w:ind w:leftChars="0"/>
            </w:pPr>
            <w:r w:rsidRPr="00E40900">
              <w:rPr>
                <w:rFonts w:hint="eastAsia"/>
              </w:rPr>
              <w:t>柱上に設置した高圧変圧器がないもの</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Default="00433322" w:rsidP="00433322">
            <w:pPr>
              <w:pStyle w:val="a8"/>
              <w:numPr>
                <w:ilvl w:val="0"/>
                <w:numId w:val="2"/>
              </w:numPr>
              <w:ind w:leftChars="0"/>
            </w:pPr>
            <w:r>
              <w:rPr>
                <w:rFonts w:hint="eastAsia"/>
              </w:rPr>
              <w:t>高圧負荷開閉器（キュービクル内に設置するものを除く。）に可燃性絶縁油を使用していないもの</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Pr="00E40900" w:rsidRDefault="00433322" w:rsidP="00433322">
            <w:pPr>
              <w:pStyle w:val="a8"/>
              <w:numPr>
                <w:ilvl w:val="0"/>
                <w:numId w:val="2"/>
              </w:numPr>
              <w:ind w:leftChars="0"/>
            </w:pPr>
            <w:r>
              <w:rPr>
                <w:rFonts w:hint="eastAsia"/>
              </w:rPr>
              <w:t>保安上の責任分界点又はこれに近い箇所に地絡保護継電器付高圧交流負荷開閉器又は地絡遮断器が設置されているもの</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Pr="00433322" w:rsidRDefault="00433322" w:rsidP="00433322">
            <w:pPr>
              <w:pStyle w:val="a8"/>
              <w:numPr>
                <w:ilvl w:val="0"/>
                <w:numId w:val="2"/>
              </w:numPr>
              <w:ind w:leftChars="0"/>
            </w:pPr>
            <w:r>
              <w:rPr>
                <w:rFonts w:hint="eastAsia"/>
              </w:rPr>
              <w:t>責任分界点から主遮断装置の間に電力需給用計器用変成器、地絡保護継電器用変成器、受電電圧確認用変成器、主遮断器用開閉状態表示変成器及び主遮断器操作用変成器以外の変成器がないもの</w:t>
            </w:r>
          </w:p>
        </w:tc>
        <w:tc>
          <w:tcPr>
            <w:tcW w:w="1081" w:type="dxa"/>
            <w:vAlign w:val="center"/>
          </w:tcPr>
          <w:p w:rsidR="00433322" w:rsidRDefault="00433322" w:rsidP="00433322">
            <w:pPr>
              <w:jc w:val="center"/>
            </w:pPr>
          </w:p>
        </w:tc>
      </w:tr>
      <w:tr w:rsidR="00433322" w:rsidTr="003872EC">
        <w:tc>
          <w:tcPr>
            <w:tcW w:w="7621" w:type="dxa"/>
            <w:gridSpan w:val="2"/>
          </w:tcPr>
          <w:p w:rsidR="00433322" w:rsidRDefault="00433322" w:rsidP="00433322">
            <w:pPr>
              <w:pStyle w:val="a8"/>
              <w:numPr>
                <w:ilvl w:val="0"/>
                <w:numId w:val="1"/>
              </w:numPr>
              <w:ind w:leftChars="0"/>
            </w:pPr>
            <w:r w:rsidRPr="00433322">
              <w:rPr>
                <w:rFonts w:hint="eastAsia"/>
              </w:rPr>
              <w:t>設備環境上支障のあるものではないこと。ただし、適切な対策が講じられているものは除く。</w:t>
            </w:r>
          </w:p>
        </w:tc>
        <w:tc>
          <w:tcPr>
            <w:tcW w:w="1081" w:type="dxa"/>
            <w:vAlign w:val="center"/>
          </w:tcPr>
          <w:p w:rsidR="00433322" w:rsidRDefault="00433322" w:rsidP="00433322">
            <w:pPr>
              <w:pStyle w:val="a8"/>
              <w:ind w:leftChars="0" w:left="420"/>
            </w:pPr>
          </w:p>
        </w:tc>
      </w:tr>
      <w:tr w:rsidR="00433322" w:rsidTr="00433322">
        <w:tc>
          <w:tcPr>
            <w:tcW w:w="534" w:type="dxa"/>
            <w:vMerge w:val="restart"/>
          </w:tcPr>
          <w:p w:rsidR="00433322" w:rsidRDefault="00433322"/>
        </w:tc>
        <w:tc>
          <w:tcPr>
            <w:tcW w:w="7087" w:type="dxa"/>
          </w:tcPr>
          <w:p w:rsidR="00433322" w:rsidRDefault="00433322">
            <w:r w:rsidRPr="00433322">
              <w:rPr>
                <w:rFonts w:hint="eastAsia"/>
              </w:rPr>
              <w:t>腐食性ガスや可燃性ガス等の滞留する場所に設置されているものではないこと。</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Default="00433322">
            <w:r w:rsidRPr="00433322">
              <w:rPr>
                <w:rFonts w:hint="eastAsia"/>
              </w:rPr>
              <w:t>高温多湿による保安機能の支障が生じる環境に設置されているものではないこと。</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Default="00433322">
            <w:r w:rsidRPr="00433322">
              <w:rPr>
                <w:rFonts w:hint="eastAsia"/>
              </w:rPr>
              <w:t>塩害による保安機能の支障が生じる環境に設置されているものではないこと。</w:t>
            </w:r>
          </w:p>
        </w:tc>
        <w:tc>
          <w:tcPr>
            <w:tcW w:w="1081" w:type="dxa"/>
            <w:vAlign w:val="center"/>
          </w:tcPr>
          <w:p w:rsidR="00433322" w:rsidRDefault="00433322" w:rsidP="00433322">
            <w:pPr>
              <w:jc w:val="center"/>
            </w:pPr>
          </w:p>
        </w:tc>
      </w:tr>
      <w:tr w:rsidR="00433322" w:rsidTr="009A291F">
        <w:tc>
          <w:tcPr>
            <w:tcW w:w="7621" w:type="dxa"/>
            <w:gridSpan w:val="2"/>
          </w:tcPr>
          <w:p w:rsidR="00433322" w:rsidRDefault="00433322" w:rsidP="00433322">
            <w:pPr>
              <w:pStyle w:val="a8"/>
              <w:numPr>
                <w:ilvl w:val="0"/>
                <w:numId w:val="1"/>
              </w:numPr>
              <w:ind w:leftChars="0"/>
            </w:pPr>
            <w:r>
              <w:rPr>
                <w:rFonts w:hint="eastAsia"/>
              </w:rPr>
              <w:t>使用実績又は維持管理状況を踏まえて、次回の停電年次点検まで（３年後まで）の間における設備の信頼性に支障が認められるものではないこと。</w:t>
            </w:r>
          </w:p>
        </w:tc>
        <w:tc>
          <w:tcPr>
            <w:tcW w:w="1081" w:type="dxa"/>
            <w:vAlign w:val="center"/>
          </w:tcPr>
          <w:p w:rsidR="00433322" w:rsidRDefault="00433322" w:rsidP="00433322">
            <w:pPr>
              <w:jc w:val="center"/>
            </w:pPr>
          </w:p>
        </w:tc>
      </w:tr>
      <w:tr w:rsidR="00433322" w:rsidTr="00433322">
        <w:tc>
          <w:tcPr>
            <w:tcW w:w="534" w:type="dxa"/>
            <w:vMerge w:val="restart"/>
          </w:tcPr>
          <w:p w:rsidR="00433322" w:rsidRDefault="00433322"/>
        </w:tc>
        <w:tc>
          <w:tcPr>
            <w:tcW w:w="7087" w:type="dxa"/>
          </w:tcPr>
          <w:p w:rsidR="00433322" w:rsidRDefault="00433322" w:rsidP="00433322">
            <w:r>
              <w:rPr>
                <w:rFonts w:hint="eastAsia"/>
              </w:rPr>
              <w:t>前回の停電年次点検において、内規で定める点検が実施されており、その結果（修理等を行った場合にはその結果も含む。）が支障ないものであること。</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Pr="00433322" w:rsidRDefault="00433322" w:rsidP="00433322">
            <w:r>
              <w:rPr>
                <w:rFonts w:hint="eastAsia"/>
              </w:rPr>
              <w:t>前回の停電年次点検以降で実施した無停電での年次点検及び直近までの月次点検の結果（修理等を行った場合にはその結果も含む。）が支障ないものであること。</w:t>
            </w:r>
          </w:p>
        </w:tc>
        <w:tc>
          <w:tcPr>
            <w:tcW w:w="1081" w:type="dxa"/>
            <w:vAlign w:val="center"/>
          </w:tcPr>
          <w:p w:rsidR="00433322" w:rsidRDefault="00433322" w:rsidP="00433322">
            <w:pPr>
              <w:jc w:val="center"/>
            </w:pPr>
          </w:p>
        </w:tc>
      </w:tr>
      <w:tr w:rsidR="00433322" w:rsidTr="00433322">
        <w:tc>
          <w:tcPr>
            <w:tcW w:w="534" w:type="dxa"/>
            <w:vMerge/>
          </w:tcPr>
          <w:p w:rsidR="00433322" w:rsidRDefault="00433322"/>
        </w:tc>
        <w:tc>
          <w:tcPr>
            <w:tcW w:w="7087" w:type="dxa"/>
          </w:tcPr>
          <w:p w:rsidR="00433322" w:rsidRPr="00433322" w:rsidRDefault="00433322" w:rsidP="00433322">
            <w:r>
              <w:rPr>
                <w:rFonts w:hint="eastAsia"/>
              </w:rPr>
              <w:t>製造者等が推奨する取替更新時期内であるもの又は保安に関する適正な余寿命評価（次回の停電年次点検までの期間（３年後までの期間））を行ったものであること。</w:t>
            </w:r>
          </w:p>
        </w:tc>
        <w:tc>
          <w:tcPr>
            <w:tcW w:w="1081" w:type="dxa"/>
            <w:vAlign w:val="center"/>
          </w:tcPr>
          <w:p w:rsidR="00433322" w:rsidRDefault="00433322" w:rsidP="00433322">
            <w:pPr>
              <w:jc w:val="center"/>
            </w:pPr>
          </w:p>
        </w:tc>
      </w:tr>
      <w:tr w:rsidR="00433322" w:rsidTr="00A96478">
        <w:tc>
          <w:tcPr>
            <w:tcW w:w="7621" w:type="dxa"/>
            <w:gridSpan w:val="2"/>
          </w:tcPr>
          <w:p w:rsidR="00433322" w:rsidRDefault="00433322" w:rsidP="00433322">
            <w:pPr>
              <w:pStyle w:val="a8"/>
              <w:numPr>
                <w:ilvl w:val="0"/>
                <w:numId w:val="1"/>
              </w:numPr>
              <w:ind w:leftChars="0"/>
            </w:pPr>
            <w:r w:rsidRPr="00433322">
              <w:rPr>
                <w:rFonts w:hint="eastAsia"/>
              </w:rPr>
              <w:t>保安管理に係る体制に支障のあるものではないこと。</w:t>
            </w:r>
          </w:p>
        </w:tc>
        <w:tc>
          <w:tcPr>
            <w:tcW w:w="1081" w:type="dxa"/>
            <w:vAlign w:val="center"/>
          </w:tcPr>
          <w:p w:rsidR="00433322" w:rsidRDefault="00433322" w:rsidP="00433322">
            <w:pPr>
              <w:jc w:val="center"/>
            </w:pPr>
          </w:p>
        </w:tc>
      </w:tr>
      <w:tr w:rsidR="00E40900" w:rsidTr="00433322">
        <w:tc>
          <w:tcPr>
            <w:tcW w:w="534" w:type="dxa"/>
          </w:tcPr>
          <w:p w:rsidR="00E40900" w:rsidRDefault="00E40900"/>
        </w:tc>
        <w:tc>
          <w:tcPr>
            <w:tcW w:w="7087" w:type="dxa"/>
          </w:tcPr>
          <w:p w:rsidR="00E40900" w:rsidRDefault="00433322" w:rsidP="00433322">
            <w:r>
              <w:rPr>
                <w:rFonts w:hint="eastAsia"/>
              </w:rPr>
              <w:t>年次点検（停電及び無停電）の実施方法が、保安規程又は保安規程の下部規程等に定められていること。</w:t>
            </w:r>
          </w:p>
        </w:tc>
        <w:tc>
          <w:tcPr>
            <w:tcW w:w="1081" w:type="dxa"/>
            <w:vAlign w:val="center"/>
          </w:tcPr>
          <w:p w:rsidR="00E40900" w:rsidRDefault="00E40900" w:rsidP="00433322">
            <w:pPr>
              <w:jc w:val="center"/>
            </w:pPr>
          </w:p>
        </w:tc>
      </w:tr>
    </w:tbl>
    <w:p w:rsidR="00E40900" w:rsidRDefault="00E40900"/>
    <w:sectPr w:rsidR="00E40900" w:rsidSect="00433322">
      <w:head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00" w:rsidRDefault="00E40900" w:rsidP="003C0825">
      <w:r>
        <w:separator/>
      </w:r>
    </w:p>
  </w:endnote>
  <w:endnote w:type="continuationSeparator" w:id="0">
    <w:p w:rsidR="00E40900" w:rsidRDefault="00E4090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00" w:rsidRDefault="00E40900" w:rsidP="003C0825">
      <w:r>
        <w:separator/>
      </w:r>
    </w:p>
  </w:footnote>
  <w:footnote w:type="continuationSeparator" w:id="0">
    <w:p w:rsidR="00E40900" w:rsidRDefault="00E40900"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00" w:rsidRPr="003C0825" w:rsidRDefault="00E40900" w:rsidP="003C0825">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15E"/>
    <w:multiLevelType w:val="hybridMultilevel"/>
    <w:tmpl w:val="27E25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24200C"/>
    <w:multiLevelType w:val="hybridMultilevel"/>
    <w:tmpl w:val="06C8A4F6"/>
    <w:lvl w:ilvl="0" w:tplc="252422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CD781A"/>
    <w:multiLevelType w:val="hybridMultilevel"/>
    <w:tmpl w:val="C188FB00"/>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E2"/>
    <w:rsid w:val="003C0825"/>
    <w:rsid w:val="00433322"/>
    <w:rsid w:val="00553CC8"/>
    <w:rsid w:val="00C260B1"/>
    <w:rsid w:val="00E40900"/>
    <w:rsid w:val="00F93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40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4090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40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40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8BD150FC.dotm</Template>
  <TotalTime>19</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METI</cp:lastModifiedBy>
  <cp:revision>2</cp:revision>
  <dcterms:created xsi:type="dcterms:W3CDTF">2013-12-05T08:38:00Z</dcterms:created>
  <dcterms:modified xsi:type="dcterms:W3CDTF">2013-12-05T08:58:00Z</dcterms:modified>
</cp:coreProperties>
</file>