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Default="00CB3623"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様式第１３の３</w:t>
      </w:r>
    </w:p>
    <w:p w:rsidR="00FA5F01" w:rsidRPr="00565A5C" w:rsidRDefault="00FA5F01"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FA5F01" w:rsidRDefault="00FA5F01" w:rsidP="003E51C1">
      <w:pPr>
        <w:autoSpaceDE w:val="0"/>
        <w:autoSpaceDN w:val="0"/>
        <w:adjustRightInd w:val="0"/>
        <w:ind w:leftChars="100" w:left="240"/>
        <w:jc w:val="right"/>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C44579"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FA5F01">
        <w:rPr>
          <w:rFonts w:asciiTheme="minorEastAsia" w:eastAsiaTheme="minorEastAsia" w:hAnsiTheme="minorEastAsia" w:cs="ＭＳ....." w:hint="eastAsia"/>
          <w:kern w:val="0"/>
          <w:szCs w:val="24"/>
        </w:rPr>
        <w:t xml:space="preserve">中国四国産業保安監督部長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7C35A4"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bookmarkStart w:id="0" w:name="_GoBack"/>
      <w:bookmarkEnd w:id="0"/>
    </w:p>
    <w:p w:rsidR="003C168D" w:rsidRPr="007C35A4"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C21EF5">
      <w:pPr>
        <w:widowControl/>
        <w:ind w:left="1133" w:hangingChars="472" w:hanging="1133"/>
        <w:jc w:val="left"/>
        <w:rPr>
          <w:rFonts w:asciiTheme="minorEastAsia" w:eastAsiaTheme="minorEastAsia" w:hAnsiTheme="minorEastAsia" w:cs="ＭＳ....."/>
          <w:kern w:val="0"/>
          <w:szCs w:val="24"/>
        </w:rPr>
      </w:pPr>
    </w:p>
    <w:p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１　用紙の大きさは、日本工業規格Ａ４とすること。</w:t>
      </w:r>
    </w:p>
    <w:p w:rsidR="00417FCE" w:rsidRDefault="006A4E91" w:rsidP="00C957CD">
      <w:pPr>
        <w:widowControl/>
        <w:ind w:leftChars="302" w:left="934" w:hangingChars="87" w:hanging="209"/>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w:t>
      </w:r>
      <w:r w:rsidR="00C957CD"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rsidR="00417FCE" w:rsidRDefault="00417FCE" w:rsidP="00417FCE">
      <w:pPr>
        <w:widowControl/>
        <w:jc w:val="left"/>
        <w:rPr>
          <w:rFonts w:asciiTheme="minorEastAsia" w:eastAsiaTheme="minorEastAsia" w:hAnsiTheme="minorEastAsia" w:cs="ＭＳ....."/>
          <w:kern w:val="0"/>
          <w:szCs w:val="24"/>
        </w:rPr>
      </w:pPr>
    </w:p>
    <w:p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電気関係報告規則</w:t>
      </w:r>
      <w:r w:rsidRPr="00417FCE">
        <w:rPr>
          <w:rFonts w:hAnsi="ＭＳ 明朝" w:cs="Times New Roman" w:hint="eastAsia"/>
          <w:szCs w:val="24"/>
        </w:rPr>
        <w:t>報告規則様式第１３の２の記載事項に照らして、変更内容を記載すること。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C4141C" w:rsidRPr="00565A5C" w:rsidRDefault="00C4141C" w:rsidP="00417FCE">
      <w:pPr>
        <w:widowControl/>
        <w:jc w:val="left"/>
        <w:rPr>
          <w:rFonts w:asciiTheme="minorEastAsia" w:eastAsiaTheme="minorEastAsia" w:hAnsiTheme="minorEastAsia" w:cs="ＭＳ....."/>
          <w:kern w:val="0"/>
          <w:szCs w:val="24"/>
        </w:rPr>
      </w:pPr>
    </w:p>
    <w:sectPr w:rsidR="00C4141C"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5A4"/>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A5F01"/>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E986EBB"/>
  <w15:docId w15:val="{DFC2A63A-1B9A-43A3-8F00-ED1DF156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C9627-EB69-4B13-9102-F1A44DB3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2016-06-02T05:03:00Z</cp:lastPrinted>
  <dcterms:created xsi:type="dcterms:W3CDTF">2016-09-30T02:17:00Z</dcterms:created>
  <dcterms:modified xsi:type="dcterms:W3CDTF">2021-01-31T00:06:00Z</dcterms:modified>
</cp:coreProperties>
</file>